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FB" w:rsidRPr="00F30CFB" w:rsidRDefault="00F30CFB" w:rsidP="00F30CFB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val="uk-UA" w:eastAsia="ru-RU"/>
        </w:rPr>
      </w:pPr>
      <w:bookmarkStart w:id="0" w:name="_GoBack"/>
      <w:r w:rsidRPr="00F30CF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ТЕХНОЛОГІЧНИЙ РЕГЛАМЕНТ ДЛЯ ПІДПРИЄМСТВА ПИТНОГО ВОДОПОСТАЧАННЯ</w:t>
      </w:r>
    </w:p>
    <w:bookmarkEnd w:id="0"/>
    <w:p w:rsidR="00F30CFB" w:rsidRPr="00F30CFB" w:rsidRDefault="00F30CFB" w:rsidP="00F30CFB">
      <w:pPr>
        <w:pStyle w:val="a5"/>
        <w:jc w:val="both"/>
        <w:rPr>
          <w:rFonts w:ascii="Times New Roman" w:hAnsi="Times New Roman" w:cs="Times New Roman"/>
          <w:kern w:val="36"/>
          <w:sz w:val="28"/>
          <w:szCs w:val="28"/>
          <w:lang w:val="uk-UA" w:eastAsia="ru-RU"/>
        </w:rPr>
      </w:pP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Як відомо,  питна вода, перед тим, як потрапити до споживача, проходить де який путь між джерелом, з якого вона видобувається, до водопровідного крану на розвідній мережі, через необхідні етапи </w:t>
      </w:r>
      <w:proofErr w:type="spellStart"/>
      <w:r w:rsidRPr="005156A1">
        <w:rPr>
          <w:rFonts w:ascii="Times New Roman" w:hAnsi="Times New Roman" w:cs="Times New Roman"/>
          <w:sz w:val="28"/>
          <w:szCs w:val="28"/>
          <w:lang w:val="uk-UA"/>
        </w:rPr>
        <w:t>водопідготовки</w:t>
      </w:r>
      <w:proofErr w:type="spellEnd"/>
      <w:r w:rsidRPr="005156A1">
        <w:rPr>
          <w:rFonts w:ascii="Times New Roman" w:hAnsi="Times New Roman" w:cs="Times New Roman"/>
          <w:sz w:val="28"/>
          <w:szCs w:val="28"/>
          <w:lang w:val="uk-UA"/>
        </w:rPr>
        <w:t>. Це може бути знезараження  з метою запобігання бактеріального забруднення, очищення від надлишків мінеральних складових,  а іноді, навпроти, додаткова мінералізація.  Дуже важливо, щоби на своєму шляху до споживача, вода не  втратила свої властивості та якісні показники.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Всі етапи видобування, оброблення, транспортування та розподіл питної води між споживачами є складовими технологічного процесу виробництва питної  води, який повинен здійснюватися с дотриманням вимог чинного законодавства.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Діючими нормативними законодавчими  актами передбачено, що основним технічним документом для підприємств, які надають послуги з централізованого питного водопостачання (та водовідведення), є Технологічний регламент.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Необхідність його розробки передбачена </w:t>
      </w:r>
      <w:proofErr w:type="spellStart"/>
      <w:r w:rsidRPr="005156A1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2.2.4-171-10 «Гігієнічні вимоги до води питної, призначеної для споживання людиною» (п. 3.10), де зазначено: «Виробництво питної води здійснюється за нормативно-технічним документом  та  відповідно до технологічного регламенту  або  іншого  документа з описом технологічного процесу виробництва питної води, що пройшли державну санітарно-епідеміологічну   експертизу   та   отримали  позитивний висновок». Також, відповідно до постанови Національної комісії, що здійснює державне регулювання у сфері комунальних послуг № 279 від 10.08.2012 р. (розділ 3.4.1) суб’єкти господарювання, які здійснюють централізоване водопостачання, повинні мати технологічний регламент з експлуатації споруд та мереж централізованого водопостачання, затверджений керівником суб’єкта господарювання.  Наявність технологічного регламенту є обов’язковою вимогою для отримання ліцензії для здійснення господарської діяльності в сфері  централізованого водопостачання та водовідведення  згідно п.2, п/п 4)  Постанови Національної комісії, що здійснює державне регулювання у сферах енергетики та комунальних послуг №307 від 22.03.2017 «Про затвердження Ліцензійних умов провадження господарської діяльності з централізованого водопостачання та централізованого водовідведення»</w:t>
      </w:r>
      <w:r w:rsidRPr="005156A1">
        <w:rPr>
          <w:rStyle w:val="a4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lang w:val="uk-UA"/>
        </w:rPr>
        <w:t>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Style w:val="a4"/>
          <w:rFonts w:ascii="Times New Roman" w:hAnsi="Times New Roman" w:cs="Times New Roman"/>
          <w:color w:val="2B2B2B"/>
          <w:sz w:val="28"/>
          <w:szCs w:val="28"/>
          <w:bdr w:val="none" w:sz="0" w:space="0" w:color="auto" w:frame="1"/>
          <w:lang w:val="uk-UA"/>
        </w:rPr>
        <w:t>      </w:t>
      </w: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В Миколаївський області, за результатами заходів державного нагляду (контролю)  об’єктів водопостачання  (водопроводів), проведених, спеціалістами Головного управління </w:t>
      </w:r>
      <w:proofErr w:type="spellStart"/>
      <w:r w:rsidRPr="005156A1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в Миколаївській області,  встановлено: лише 11,5% водопроводів, розташованих в Миколаївський області мають технологічні регламенти на виробництво питної води (63 водопроводи з 550).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В тих підприємствах, де в  наявності,  технологічні регламенти,  вони за вмістом не відповідають вимогам </w:t>
      </w:r>
      <w:proofErr w:type="spellStart"/>
      <w:r w:rsidRPr="005156A1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2.2.4-171-10 «Гігієнічні вимоги до </w:t>
      </w:r>
      <w:r w:rsidRPr="005156A1">
        <w:rPr>
          <w:rFonts w:ascii="Times New Roman" w:hAnsi="Times New Roman" w:cs="Times New Roman"/>
          <w:sz w:val="28"/>
          <w:szCs w:val="28"/>
          <w:lang w:val="uk-UA"/>
        </w:rPr>
        <w:lastRenderedPageBreak/>
        <w:t>води питної, призначеної для споживання людиною» та не узгоджені, як то вимагає чинне законодавство, робочі програми відомчого контролю складені з порушенням санітарних вимог    щодо періодичності контролю та переліку необхідних для дослідження показників.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Технологічний регламент повинен включати повний детальний опис технологічного процесу виробництва питної води та показники якості питної води, що виробляється підприємством та надається споживачу. Зокрема, характеристики системи водопостачання в цілому та її окремих частин, очисних споруд, насосних станцій, розподільної мережі та її окремих частин.  В тому числі,  наявних установок доочищення питної води, що більш притаманне для сільських водопроводів, при цьому регламент повинен включати необхідний порядок здійснення технічного обслуговування установок, тобто, заміни фільтрів, промивок трубопроводів та </w:t>
      </w:r>
      <w:proofErr w:type="spellStart"/>
      <w:r w:rsidRPr="005156A1">
        <w:rPr>
          <w:rFonts w:ascii="Times New Roman" w:hAnsi="Times New Roman" w:cs="Times New Roman"/>
          <w:sz w:val="28"/>
          <w:szCs w:val="28"/>
          <w:lang w:val="uk-UA"/>
        </w:rPr>
        <w:t>ємностей</w:t>
      </w:r>
      <w:proofErr w:type="spellEnd"/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тощо. Також, регламент,  обов’язкової, повинен включати робочу програму виробничого контролю, складену у повній відповідності до вимог розділу 4 </w:t>
      </w:r>
      <w:proofErr w:type="spellStart"/>
      <w:r w:rsidRPr="005156A1">
        <w:rPr>
          <w:rFonts w:ascii="Times New Roman" w:hAnsi="Times New Roman" w:cs="Times New Roman"/>
          <w:sz w:val="28"/>
          <w:szCs w:val="28"/>
          <w:lang w:val="uk-UA"/>
        </w:rPr>
        <w:t>ДСанПіН</w:t>
      </w:r>
      <w:proofErr w:type="spellEnd"/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2.2.4-171-10 «Гігієнічні вимоги до води питної, призначеної для споживання людиною», відносно  типу контролю, переліку показників, що досліджуються, періодичності та вибору місць контролю.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Кожен технологічний регламент повинен бути узгоджений в установленому чинним законодавством  порядку з отриманням  висновку державної санітарно-епідеміологічної експертизи відсутній.     Затверджений та узгоджений з усіма необхідними установами технологічний регламент повинен точно виконуватися експлуатуючими службами, він є підставою для виконання всіх видів робіт з експлуатації, поточного та капітального ремонту, технологічного, фізико-хімічного і бактеріологічного контролю за роботою всього водоочисного комплексу та його окремих елементів.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Технологічні регламенти підлягають обов’язковому перегляду і узгодженню в разі внесення змін в технологічний процес видобування підготовки та передання споживачу воді.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15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отримання консультації, щодо розробки Технологічного регламенту,  Ви можете звертатись до Управління державного нагляду за дотриманням санітарного законодавства Головного управління </w:t>
      </w:r>
      <w:proofErr w:type="spellStart"/>
      <w:r w:rsidRPr="005156A1">
        <w:rPr>
          <w:rFonts w:ascii="Times New Roman" w:hAnsi="Times New Roman" w:cs="Times New Roman"/>
          <w:b/>
          <w:sz w:val="28"/>
          <w:szCs w:val="28"/>
          <w:lang w:val="uk-UA"/>
        </w:rPr>
        <w:t>Держпродспоживслужби</w:t>
      </w:r>
      <w:proofErr w:type="spellEnd"/>
      <w:r w:rsidRPr="005156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Миколаївській області за </w:t>
      </w:r>
      <w:proofErr w:type="spellStart"/>
      <w:r w:rsidRPr="005156A1">
        <w:rPr>
          <w:rFonts w:ascii="Times New Roman" w:hAnsi="Times New Roman" w:cs="Times New Roman"/>
          <w:b/>
          <w:sz w:val="28"/>
          <w:szCs w:val="28"/>
          <w:lang w:val="uk-UA"/>
        </w:rPr>
        <w:t>адресою</w:t>
      </w:r>
      <w:proofErr w:type="spellEnd"/>
      <w:r w:rsidRPr="005156A1">
        <w:rPr>
          <w:rFonts w:ascii="Times New Roman" w:hAnsi="Times New Roman" w:cs="Times New Roman"/>
          <w:b/>
          <w:sz w:val="28"/>
          <w:szCs w:val="28"/>
          <w:lang w:val="uk-UA"/>
        </w:rPr>
        <w:t>: м. Миколаїв, вул. Кузнецька, 192, телефон 70-94-36</w:t>
      </w:r>
    </w:p>
    <w:p w:rsidR="00F30CFB" w:rsidRPr="005156A1" w:rsidRDefault="00F30CFB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6A1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422121" w:rsidRPr="005156A1" w:rsidRDefault="00422121" w:rsidP="00F30CF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2121" w:rsidRPr="005156A1" w:rsidSect="0042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FB"/>
    <w:rsid w:val="00422121"/>
    <w:rsid w:val="005156A1"/>
    <w:rsid w:val="00F3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10B16-25F5-4C51-8CF9-D07DD828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21"/>
  </w:style>
  <w:style w:type="paragraph" w:styleId="1">
    <w:name w:val="heading 1"/>
    <w:basedOn w:val="a"/>
    <w:link w:val="10"/>
    <w:uiPriority w:val="9"/>
    <w:qFormat/>
    <w:rsid w:val="00F30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C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30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F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Админ</cp:lastModifiedBy>
  <cp:revision>2</cp:revision>
  <dcterms:created xsi:type="dcterms:W3CDTF">2020-06-17T10:37:00Z</dcterms:created>
  <dcterms:modified xsi:type="dcterms:W3CDTF">2020-06-17T10:37:00Z</dcterms:modified>
</cp:coreProperties>
</file>